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ru-RU" w:eastAsia="ru-RU" w:bidi="ru-RU"/>
        </w:rPr>
        <w:t>РЕКВИЗИТЫ ДЛЯ О ПЛ А ТЫ ЗА АДМИНИСТРА ТИВНУЮ ПРОЦЕДУРУ: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Банк-получатель: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Минск ОАО АСБ «Беларусбанк»,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7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Код банка: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AKBBBY2X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260"/>
        <w:jc w:val="both"/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Бенефициар: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Главное управление МФ РБ по Гродненской области, УНП 500563252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Расчетный счет: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BY49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АКВВ 3600 5150 0029 4000 0000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Код платежа: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04301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0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Назначение платежа: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100% предоплата за услуги, оказанные при</w:t>
        <w:br/>
        <w:t>осуществлении административной процедуры</w:t>
      </w:r>
    </w:p>
    <w:tbl>
      <w:tblPr>
        <w:tblOverlap w:val="never"/>
        <w:jc w:val="center"/>
        <w:tblLayout w:type="fixed"/>
      </w:tblPr>
      <w:tblGrid>
        <w:gridCol w:w="8054"/>
        <w:gridCol w:w="1853"/>
      </w:tblGrid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Наименование административной процедуры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 xml:space="preserve">Стоимость, (руб.)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01.02.2025</w:t>
            </w:r>
          </w:p>
        </w:tc>
      </w:tr>
      <w:tr>
        <w:trPr>
          <w:trHeight w:val="13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3.16.8.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Получение решения о разрешении проведения проектно</w:t>
              <w:softHyphen/>
              <w:t xml:space="preserve">изыскательских работ и строительства вновь создаваемых и (или) реконструируемых оптоволоконных линий связи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если требуется согласование с РУП НЦОТ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94,40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3.16.8.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Получение решения о разрешении проведения проектно</w:t>
              <w:softHyphen/>
              <w:t xml:space="preserve">изыскательских работ и строительства вновь создаваемых и (или) реконструируемых оптоволоконных линий связи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если НЕ требуется согласование с РУП НЦОТ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34,71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720" w:right="440" w:bottom="720" w:left="1389" w:header="292" w:footer="29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0">
    <w:name w:val="Друго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3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  <w:spacing w:after="320" w:line="221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